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61C" w:rsidRPr="0031661C" w:rsidRDefault="0031661C" w:rsidP="0031661C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 w:rsidRPr="0031661C"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31661C" w:rsidRDefault="0031661C" w:rsidP="0031661C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31661C" w:rsidRDefault="0031661C" w:rsidP="0031661C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D66062" w:rsidRPr="0031661C" w:rsidRDefault="0031661C" w:rsidP="0031661C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31661C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Взыскание с владельцев банковских карт, передавших (продавших) их третьим лицам, неосновательного обогащения.</w:t>
      </w:r>
    </w:p>
    <w:p w:rsidR="0031661C" w:rsidRDefault="0031661C" w:rsidP="0031661C">
      <w:pPr>
        <w:pStyle w:val="a3"/>
        <w:spacing w:beforeAutospacing="0" w:afterAutospacing="0"/>
        <w:ind w:firstLine="709"/>
        <w:jc w:val="both"/>
        <w:rPr>
          <w:rFonts w:eastAsia="Roboto"/>
          <w:color w:val="000000"/>
          <w:sz w:val="28"/>
          <w:szCs w:val="28"/>
          <w:shd w:val="clear" w:color="auto" w:fill="FFFFFF"/>
          <w:lang w:val="ru-RU"/>
        </w:rPr>
      </w:pPr>
    </w:p>
    <w:p w:rsidR="00D66062" w:rsidRPr="0031661C" w:rsidRDefault="0031661C" w:rsidP="0031661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В силу требований пункта 1 статьи 845 ГК РФ по договору банковского счета банк обязуется принимать и зачислять поступающие на счет, открытый 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клиенту (владельцу счета), денежные средства, выполнять распоряжения клиента о перечислении и выдаче соответствующих сумм со счета и проведении иных операций по счету. Списание денежных средств со счета осуществляется банком на основании распоряжения клиен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та. Без распоряжения клиента списание денежных средств, находящихся на счете, допускается по решению суда, а также в случаях, установленных законом или предусмотренных договором между банком и клиентом. Договором может быть предусмотрено удостоверение прав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 распоряжения денежными суммами, находящимися на счете, электронными средствами платежа и другими документами с использованием в них аналогов собственноручной подписи, кодов, паролей и иных средств, подтверждающих, что распоряжение дано уполномоченным на э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то лицом.</w:t>
      </w:r>
    </w:p>
    <w:p w:rsidR="00D66062" w:rsidRPr="0031661C" w:rsidRDefault="0031661C" w:rsidP="0031661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Правовое регулирование электронных средств платежа осуществляется в соответствии с Федеральным законом от 27.06.2011 № 161-ФЗ «О национальной платежной системе». По правилам выпуска и обслуживания банковских карт, карта является собственностью ба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нка и дается владельцу во временное пользование. Передача карты в руки третьих лиц и предоставление сведений о ПИН-кодах категорически запрещены условиями договора, заключенного между банком и клиентом. Персональную ответственность по операциям с картой не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сет владелец карты. Таким образом, при передаче банковской карты третьему лицу все негативные последствия по совершенным банковским операциям возложены на лицо, на чье имя выдана банковская карта.</w:t>
      </w:r>
    </w:p>
    <w:p w:rsidR="00D66062" w:rsidRPr="0031661C" w:rsidRDefault="0031661C" w:rsidP="0031661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При поступлении денежных средств на карту третье</w:t>
      </w:r>
      <w:r w:rsidRPr="0031661C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лицо, как 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правило, за вознаграждение переводит деньги мошенникам либо дает согласие и предоставляет им возможность распоряжаться его счетом. Следовательно, на владельцах карты лежит ответственность за все неблагоприятные последствия совершенных действий.</w:t>
      </w:r>
    </w:p>
    <w:p w:rsidR="00D66062" w:rsidRPr="0031661C" w:rsidRDefault="0031661C" w:rsidP="0031661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В силу пунк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та 1 статьи 1102 ГК РФ лицо, которое без установленных законом, иными правовыми актами или сделкой оснований приобрело или сберегло имущество (приобретатель), за счет другого лица (потерпевшего), обязано возвратить последнему неосновательно приобретенное и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ли сбереженное имущество (неосновательное обогащение), за исключением случаев, предусмотренных статьей 1109 ГК РФ. Правила, предусмотренные главой 60 ГК РФ, применяются независимо от того, явилось ли неосновательное обогащение результатом поведения приобре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тателя 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lastRenderedPageBreak/>
        <w:t>имущества, самого потерпевшего, третьих лиц или произошло помимо их воли.</w:t>
      </w:r>
    </w:p>
    <w:p w:rsidR="00D66062" w:rsidRPr="0031661C" w:rsidRDefault="0031661C" w:rsidP="0031661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По смыслу указанной нормы для подтверждения факта возникновения обязательства из неосновательного обогащения должна быть установлена совокупность следующих обстоятельств: сбер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ежение имущества (неосновательное обогащение) на стороне приобретателя; возникновение убытков на стороне потерпевшего, являющихся источником обогащения приобретателя (обогащение за счет потерпевшего); отсутствие надлежащего правового основания для наступле</w:t>
      </w: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ния указанных имущественных последствий.</w:t>
      </w:r>
    </w:p>
    <w:p w:rsidR="00D66062" w:rsidRPr="0031661C" w:rsidRDefault="0031661C" w:rsidP="0031661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31661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Таким образом, граждане, пострадавшие от мошеннических действий, имеют право обратиться в суд с иском к владельцам банковского счета, банковской карты о взыскании неосновательного обогащения.</w:t>
      </w:r>
    </w:p>
    <w:p w:rsidR="00D66062" w:rsidRPr="0031661C" w:rsidRDefault="0031661C" w:rsidP="0031661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31661C">
        <w:rPr>
          <w:rFonts w:eastAsia="Roboto"/>
          <w:color w:val="333333"/>
          <w:sz w:val="28"/>
          <w:szCs w:val="28"/>
          <w:shd w:val="clear" w:color="auto" w:fill="FFFFFF"/>
        </w:rPr>
        <w:t> </w:t>
      </w:r>
    </w:p>
    <w:p w:rsidR="00D66062" w:rsidRPr="0031661C" w:rsidRDefault="00D66062" w:rsidP="003166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6062" w:rsidRPr="0031661C" w:rsidSect="0031661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62"/>
    <w:rsid w:val="0031661C"/>
    <w:rsid w:val="00D66062"/>
    <w:rsid w:val="65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51958"/>
  <w15:docId w15:val="{097CBDD6-3E27-43A5-ADB5-416C6F6E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>Прокуратура РФ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2025-06-23T06:04:00Z</dcterms:created>
  <dcterms:modified xsi:type="dcterms:W3CDTF">2025-06-23T07:26:00Z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D9111D37E5B14F0EB4EDFF096FC8F691_13</vt:lpwstr>
  </property>
</Properties>
</file>