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F3" w:rsidRPr="00F929F3" w:rsidRDefault="00F929F3" w:rsidP="00F929F3">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F929F3">
          <w:rPr>
            <w:rFonts w:ascii="Palatino Linotype" w:eastAsia="Times New Roman" w:hAnsi="Palatino Linotype" w:cs="Times New Roman"/>
            <w:color w:val="98A48E"/>
            <w:lang w:eastAsia="ru-RU"/>
          </w:rPr>
          <w:t>Об утверждении Методики формирования бюджета муниципального образования «Пенский сельсовет» Беловского района Курской области на 2022 год и на плановый период 2023 и 2024 годы построения межбюджетных отношений между областным бюджетом и бюджетом Пенского</w:t>
        </w:r>
      </w:hyperlink>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АДМИНИСТРАЦИЯ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ПЕНСКОГО СЕЛЬСОВЕТА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БЕЛОВСКОГО РАЙОНА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КУРСКОЙ ОБЛАСТИ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ПОСТАНОВЛЕНИЕ</w:t>
      </w:r>
    </w:p>
    <w:tbl>
      <w:tblPr>
        <w:tblW w:w="0" w:type="auto"/>
        <w:tblInd w:w="9" w:type="dxa"/>
        <w:tblCellMar>
          <w:top w:w="15" w:type="dxa"/>
          <w:left w:w="15" w:type="dxa"/>
          <w:bottom w:w="15" w:type="dxa"/>
          <w:right w:w="15" w:type="dxa"/>
        </w:tblCellMar>
        <w:tblLook w:val="04A0"/>
      </w:tblPr>
      <w:tblGrid>
        <w:gridCol w:w="9384"/>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от 02 ноября 2021 года № 45 П</w:t>
            </w:r>
          </w:p>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Об утверждении Методики формирования бюджета муниципального образования «Пенский сельсовет» Беловского района Курской области на 2022 год и на плановый период 2023 и 2024 годы построения межбюджетных отношений между областным бюджетом и бюджетом Пенского сельсовета Беловского района Курской области на 2022 год и на плановый 2023 и 2024 годы.</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 Утвердить Методику формирования бюджета муниципального образования «Пенский сельсовет» Беловского района Курской области на 2022 год и на плановый период 2023 и 2024 годы построения межбюджетных отношений между областным бюджетом и бюджетом Пенского сельсовета Беловского района Курской области на 2022год и на плановый период 2023 и 2024 годы согласно приложения.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 Главному распорядителю - Администрации Пенского сельсовета, распорядителям и получателям средств местного бюджета в части 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планирования бюджетных ассигнований бюджета Пенского сельсовета Беловского района Курской области на 2022 год и на плановый период 2023 и 2024 годы, утвержденной настоящим постановлением.</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3. Постановление вступает в силу со дня его подписания.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Глава Пенского сельсовета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Беловского района                                                                   А.И. Тищенко</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Приложение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к постановлению</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администрации Пенского сельсовета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Беловского района Курской области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от 02 ноября 2021 года № 45 П</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МЕТОДИКА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формирования бюджета муниципального образования «Пенский сельсовет» Беловского района Курской области на 2022 год и на плановый период 2023 и 2024 годы.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I. Прогнозирование налоговых и неналоговых доходов муниципального образования «Пенский сельсовет» Беловского района Курской области на 2022 год и на плановый период 2023 и 2024 годы.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Доходная база бюджета муниципального образования «Пенский сельсовет» Беловского района Курской области на 2022 год и на плановый период 2023 и 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реализации подакцизных товаров, объемы добычи полезных ископаемых, прибыль, фонд заработной платы) по муниципальному образованию «Пенский сельсовет» Беловского района Курской области.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Налог на доходы физических лиц (код 1 01 02010 01 0000 110)</w:t>
      </w:r>
    </w:p>
    <w:p w:rsidR="00F929F3" w:rsidRPr="00F929F3" w:rsidRDefault="00F929F3" w:rsidP="00F929F3">
      <w:pPr>
        <w:shd w:val="clear" w:color="auto" w:fill="F8FAFB"/>
        <w:spacing w:after="0"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F929F3">
          <w:rPr>
            <w:rFonts w:ascii="Verdana" w:eastAsia="Times New Roman" w:hAnsi="Verdana" w:cs="Times New Roman"/>
            <w:color w:val="7D7D7D"/>
            <w:sz w:val="12"/>
            <w:lang w:eastAsia="ru-RU"/>
          </w:rPr>
          <w:t>статьями 227</w:t>
        </w:r>
      </w:hyperlink>
      <w:r w:rsidRPr="00F929F3">
        <w:rPr>
          <w:rFonts w:ascii="Verdana" w:eastAsia="Times New Roman" w:hAnsi="Verdana" w:cs="Times New Roman"/>
          <w:color w:val="292D24"/>
          <w:sz w:val="12"/>
          <w:szCs w:val="12"/>
          <w:lang w:eastAsia="ru-RU"/>
        </w:rPr>
        <w:t>, </w:t>
      </w:r>
      <w:hyperlink r:id="rId7" w:history="1">
        <w:r w:rsidRPr="00F929F3">
          <w:rPr>
            <w:rFonts w:ascii="Verdana" w:eastAsia="Times New Roman" w:hAnsi="Verdana" w:cs="Times New Roman"/>
            <w:color w:val="7D7D7D"/>
            <w:sz w:val="12"/>
            <w:lang w:eastAsia="ru-RU"/>
          </w:rPr>
          <w:t>227.1</w:t>
        </w:r>
      </w:hyperlink>
      <w:r w:rsidRPr="00F929F3">
        <w:rPr>
          <w:rFonts w:ascii="Verdana" w:eastAsia="Times New Roman" w:hAnsi="Verdana" w:cs="Times New Roman"/>
          <w:color w:val="292D24"/>
          <w:sz w:val="12"/>
          <w:szCs w:val="12"/>
          <w:lang w:eastAsia="ru-RU"/>
        </w:rPr>
        <w:t> и </w:t>
      </w:r>
      <w:hyperlink r:id="rId8" w:history="1">
        <w:r w:rsidRPr="00F929F3">
          <w:rPr>
            <w:rFonts w:ascii="Verdana" w:eastAsia="Times New Roman" w:hAnsi="Verdana" w:cs="Times New Roman"/>
            <w:color w:val="7D7D7D"/>
            <w:sz w:val="12"/>
            <w:lang w:eastAsia="ru-RU"/>
          </w:rPr>
          <w:t>228</w:t>
        </w:r>
      </w:hyperlink>
      <w:r w:rsidRPr="00F929F3">
        <w:rPr>
          <w:rFonts w:ascii="Verdana" w:eastAsia="Times New Roman" w:hAnsi="Verdana" w:cs="Times New Roman"/>
          <w:color w:val="292D24"/>
          <w:sz w:val="12"/>
          <w:szCs w:val="12"/>
          <w:lang w:eastAsia="ru-RU"/>
        </w:rPr>
        <w:t> Налогового кодекса Российской Федерации (код 1 01 02010 01 0000 110) рассчитывается по двум вариантам и принимается средний из них.</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Первый вариант – сумма налога определяется исходя из ожидаемого поступления налога в 2021 году, скорректированного на темпы роста (снижения) фонда заработной платы на 2022 год.</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Ожидаемое поступление налога в 2022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 2019 и 2020 годов в фактических годовых поступлениях.</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Второй вариант – сумма налога определяется исходя из фонда заработной платы, планируемого комитетом по экономике и развитию Курской области на 2022 год, и ставки налога в размере 13%.</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Прогнозируемая сумма поступления налога на 2021 - 2023годы также рассчитывается по двум вариантам и принимается средний из них.</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Первый вариант - сумма налога на 2022 - 2024годы определяется исходя из прогнозируемого поступления налога в 2021 году по первому варианту, скорректированного на ежегодные темпы роста (снижения) фонда заработной платы на 2022 - 2024годы.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Второй вариант - сумма налога на 2022 - 2024 годы определяется исходя из фонда заработной платы, планируемого комитетом по экономике и развитию Курской области на 2022 - 2024годы, и ставки налога в размере 13%.</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При получении в расчетах отрицательного значения прогноз поступления налога принимается равным нулю.</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 поступления налога в 2021 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Первый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3733"/>
        <w:gridCol w:w="650"/>
        <w:gridCol w:w="650"/>
        <w:gridCol w:w="650"/>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9" w:after="9"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2022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2024 год</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Темп роста (снижения) фонда заработной платы , </w:t>
            </w:r>
            <w:r w:rsidRPr="00F929F3">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104,8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105,0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105,2</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101 02010 01 0000110</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2922"/>
        <w:gridCol w:w="735"/>
        <w:gridCol w:w="735"/>
        <w:gridCol w:w="692"/>
        <w:gridCol w:w="735"/>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9" w:after="9"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2021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2020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2019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2018 год</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Фактическое поступление за 6 месяцев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87 907,65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75571,54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82978,93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74178,59</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Фактическое поступление за финансовый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221 990,00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207037,36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180 503,05</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Ожидаемое поступление в 2019г.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228 926,17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х</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Средний удельный вес,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38,4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34,0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41,1</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Ожидаемое поступление налога в 2020 году: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87 907,65 х 100 / 40,1 = 228 926 рублей 17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Прогнозируемое поступление налога в 2022 году (по первому варианту):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228 926,17*104,8 / 100 = 239 914 рублей 63 копеек  – прогнозируемое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поступление налога по первому (1) варианту.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Второй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Планируемый фонд заработной платы по муниципальному образованию «Пенский сельсовет» на 2022 год составляет</w:t>
      </w:r>
      <w:r w:rsidRPr="00F929F3">
        <w:rPr>
          <w:rFonts w:ascii="Verdana" w:eastAsia="Times New Roman" w:hAnsi="Verdana" w:cs="Times New Roman"/>
          <w:b/>
          <w:bCs/>
          <w:color w:val="292D24"/>
          <w:sz w:val="12"/>
          <w:lang w:eastAsia="ru-RU"/>
        </w:rPr>
        <w:t> 93 134 000руб</w:t>
      </w:r>
      <w:r w:rsidRPr="00F929F3">
        <w:rPr>
          <w:rFonts w:ascii="Verdana" w:eastAsia="Times New Roman" w:hAnsi="Verdana" w:cs="Times New Roman"/>
          <w:color w:val="292D24"/>
          <w:sz w:val="12"/>
          <w:szCs w:val="12"/>
          <w:lang w:eastAsia="ru-RU"/>
        </w:rPr>
        <w:t>.</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93 134 000 х 13% (ставка налога) = 12 107 420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Норматив отчислений в местный бюджет налога на доходы физических лиц -2%</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12 107 420 х 2% = 242 148 руб. 40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Прогнозируемое поступление налога по второму варианту – 228 827 руб. 30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Средний вариант </w:t>
      </w:r>
      <w:r w:rsidRPr="00F929F3">
        <w:rPr>
          <w:rFonts w:ascii="Verdana" w:eastAsia="Times New Roman" w:hAnsi="Verdana" w:cs="Times New Roman"/>
          <w:color w:val="292D24"/>
          <w:sz w:val="12"/>
          <w:szCs w:val="12"/>
          <w:lang w:eastAsia="ru-RU"/>
        </w:rPr>
        <w:t>поступления налога на доходы физических лиц в 2022 году (239 914,63+ 242 148,40) / 2 = </w:t>
      </w:r>
      <w:r w:rsidRPr="00F929F3">
        <w:rPr>
          <w:rFonts w:ascii="Verdana" w:eastAsia="Times New Roman" w:hAnsi="Verdana" w:cs="Times New Roman"/>
          <w:b/>
          <w:bCs/>
          <w:color w:val="292D24"/>
          <w:sz w:val="12"/>
          <w:lang w:eastAsia="ru-RU"/>
        </w:rPr>
        <w:t>241 031руб. 51 копейка или   241 032 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lastRenderedPageBreak/>
        <w:t>Прогноз поступления налога в 2023-2024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Прогнозируемая сумма поступления налога на 2023- 2024годы также рассчитывается по двум вариантам и принимается средний из них.</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Первый вариант - сумма налога на 2023 - 2024годы определяется                                                                                                                        варианту, скорректированного на ежегодные темпы роста (снижения) фонда заработной платы на 2023 - 2024 годы.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Второй вариант - сумма налога на 2023 - 2024 годы определяется исходя из фонда заработной платы, планируемого комитетом по экономике и развитию Курской области на 2023 - 2024годы, и ставки налога в размере 13%.</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Прогнозируемое поступление налога в 2023 году: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Первый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239 914,63 руб. х 105,0% = 251 910 рублей 36 коп. , где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251 910,36   руб.– прогнозируемое поступление в 2023 г. по первому варианту.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Темп роста фонда заработной платы в 2023 году 105,0%</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Второй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Планируемый фонд заработной платы по муниципальному образованию «Пенский сельсовета на 2023 год составляет 98 007 500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97 784 000. х 13%( ставка налога) = 12 711 920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Норматив отчислений в местный бюджет налога на доходы физических лиц- 2%.</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12 711 920 х 2% = 254 238руб. 40 коп</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Прогнозируемое поступление налога по второму варианту – 254 819 руб. 50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Средний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(251 910,36 + 254 238,40) / 2 = 253 074руб. 38копеек. или 253 074 рублей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Прогнозируемое поступление налога в 2024 году: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Первый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251 910,36 руб. х 105,2 % = 265 009,69 руб., где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265 009,69  руб. – прогнозируемое поступление в 2024 г. по первому варианту.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Темп роста фонда заработной платы в 2024 году 105,2 %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Второй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Планируемый фонд заработной платы по муниципальному образованию «Пенский сельсовета на 2024 год составляет 102 859 000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102 859 000 руб. х 13%( ставка налога) = 13 371 670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Норматив отчислений в местный бюджет налога на доходы физических лиц- 2%.</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13 371 670 руб. х 2% = 267 433руб. 40 коп.</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Прогнозируемое поступление налога по второму варианту – 254 238 руб. 08 коп.</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Средний вариант.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(265 009,69 + 267 433,40) / 2 =  266 221 руб. 55 коп. или 266 221 руб.00коп.</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(код 1 01 02010 01 0000 110) в 2021-2023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2022 год- 241 032  руб.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2023 год- 253 074 руб.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2024 год- 266 221 руб.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1 01 02030 01 0000 110</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2922"/>
        <w:gridCol w:w="650"/>
        <w:gridCol w:w="650"/>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9" w:after="9"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2021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2020 год</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Фактическое поступление за финансовый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48,91</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Норматив отчислений в 2021г.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after="0"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Ожидаемое поступление в 2021г.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49,0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Х</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48,91х 100%/2%=2 445,50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2 445,50 х 2%=48,91 руб. или 49 рублей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2022 год- 49 руб.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2023 год- 49 руб.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2024 год -49 руб.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(код 1 01 02000 01 0000 110) в 2021-2023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2022 год- 241 032 + 49 = 241 081,00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2023 год- 253 074 + 49 = 253 123,00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2024 год- 266 221 + 49 = 266 270,00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Налог на имущество физических лиц (код 1 06 01000 00 0000 110)</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 поступлений налога на 2022-2024 годы определяется на уровне ожидаемого поступления налога в 2021 году.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Ожидаемое поступление налога в 2020 году рассчитывается исходя из среднего значения фактических поступлений сумм налога в 2017 и 2018 годах.</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 поступления налога на 2022 - 2024гг.</w:t>
      </w:r>
    </w:p>
    <w:tbl>
      <w:tblPr>
        <w:tblW w:w="0" w:type="auto"/>
        <w:tblInd w:w="9" w:type="dxa"/>
        <w:tblCellMar>
          <w:top w:w="15" w:type="dxa"/>
          <w:left w:w="15" w:type="dxa"/>
          <w:bottom w:w="15" w:type="dxa"/>
          <w:right w:w="15" w:type="dxa"/>
        </w:tblCellMar>
        <w:tblLook w:val="04A0"/>
      </w:tblPr>
      <w:tblGrid>
        <w:gridCol w:w="2922"/>
        <w:gridCol w:w="658"/>
        <w:gridCol w:w="658"/>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9" w:after="9"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2021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2020 год</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Фактическое поступление за финансовый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after="0"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61 113,67</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Ожидаемое поступление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61 113,67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after="0"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Ожидаемое поступление налога в 2021 году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(61 113,67+ 61 113,67) / 2 = 61 113,67или 61 114 руб.</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Прогнозируемое поступление налога (код 1 06 01000 00 0000 110) в 2022–2024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2021 год в сумме – 61 114</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2022 год в сумме – 61 114</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2023 год в сумме – 61 114</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Земельный налог (код 1 06 06000 00 0000 110)</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Прогноз поступлений земельного налога на 2023-2024 годы определяется на уровне ожидаемого поступления налога в 2022 году.</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Ожидаемое поступление налога в 2021 году рассчитывается исходя из фактического поступления налога во 2020года и 2019 годах.</w:t>
      </w:r>
    </w:p>
    <w:tbl>
      <w:tblPr>
        <w:tblW w:w="0" w:type="auto"/>
        <w:tblInd w:w="9" w:type="dxa"/>
        <w:tblCellMar>
          <w:top w:w="15" w:type="dxa"/>
          <w:left w:w="15" w:type="dxa"/>
          <w:bottom w:w="15" w:type="dxa"/>
          <w:right w:w="15" w:type="dxa"/>
        </w:tblCellMar>
        <w:tblLook w:val="04A0"/>
      </w:tblPr>
      <w:tblGrid>
        <w:gridCol w:w="2283"/>
        <w:gridCol w:w="2374"/>
        <w:gridCol w:w="2366"/>
        <w:gridCol w:w="2361"/>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9" w:after="9"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 Код</w:t>
            </w:r>
          </w:p>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1 06 06030 00 0000 110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Код</w:t>
            </w:r>
          </w:p>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1 06 06040 00 0000 110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 </w:t>
            </w:r>
          </w:p>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Итого</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Фактическое поступление  в 2019г.,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943 914,73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395 528,64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1 339 443,37</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Фактическое поступление  2020 г.,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1 213 974,89</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365 028,36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1 579 003,25</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Ожидаемое поступление в 2021году, руб</w:t>
            </w:r>
            <w:r w:rsidRPr="00F929F3">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(943 914,73+1 213 974,89) / 2 = 1 078 944,81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(395 528,64+365 028,36) / 2 = 380 278,50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(1 339 443,37+1 579 003,25)/2 = 1 459 223,31</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lastRenderedPageBreak/>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Прогнозируемое поступление налога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(код 1 06 06000 00 0000 110) в 2022-2024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2022 год в сумме — 1 459 223</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2022 год в сумме — 1 459 223 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2023 год в сумме — 1 459 223 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Доходы от использования имущества, находящегося в государственной и муниципальной собственности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Прогнозируемое поступление налога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(код 1 06 06030 00 0000 110) в 2022-2024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2022 год в сумме — 1 078 945</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2023 год в сумме — 1 078 945</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2024 год в сумме — 1 078 945</w:t>
      </w:r>
      <w:r w:rsidRPr="00F929F3">
        <w:rPr>
          <w:rFonts w:ascii="Verdana" w:eastAsia="Times New Roman" w:hAnsi="Verdana" w:cs="Times New Roman"/>
          <w:color w:val="292D24"/>
          <w:sz w:val="12"/>
          <w:szCs w:val="12"/>
          <w:lang w:eastAsia="ru-RU"/>
        </w:rPr>
        <w:t> </w:t>
      </w:r>
      <w:r w:rsidRPr="00F929F3">
        <w:rPr>
          <w:rFonts w:ascii="Verdana" w:eastAsia="Times New Roman" w:hAnsi="Verdana" w:cs="Times New Roman"/>
          <w:b/>
          <w:bCs/>
          <w:color w:val="292D24"/>
          <w:sz w:val="12"/>
          <w:lang w:eastAsia="ru-RU"/>
        </w:rPr>
        <w:t>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Доходы от использования имущества, находящегося в государственной и муниципальной собственности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Прогнозируемое поступление налога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(код 1 06 06040 00 0000 110) в 2022-2024 гг.</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2022 год в сумме — 380 279 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2021 год в сумме — 380 279 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2023 год в сумме — 380 279 рублей 00 копеек;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Итого прогнозируемое поступление налоговых, неналоговых доходов и безвозмездных доходов:</w:t>
      </w:r>
    </w:p>
    <w:tbl>
      <w:tblPr>
        <w:tblW w:w="0" w:type="auto"/>
        <w:tblInd w:w="9" w:type="dxa"/>
        <w:tblCellMar>
          <w:top w:w="15" w:type="dxa"/>
          <w:left w:w="15" w:type="dxa"/>
          <w:bottom w:w="15" w:type="dxa"/>
          <w:right w:w="15" w:type="dxa"/>
        </w:tblCellMar>
        <w:tblLook w:val="04A0"/>
      </w:tblPr>
      <w:tblGrid>
        <w:gridCol w:w="6841"/>
        <w:gridCol w:w="893"/>
        <w:gridCol w:w="802"/>
        <w:gridCol w:w="848"/>
      </w:tblGrid>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9" w:after="9"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2022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2023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2024 год</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Налоговые доходы</w:t>
            </w:r>
          </w:p>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в т.ч по кодам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1 761 418,00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1 773 460,00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1 786 607,00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1 01 02010 01 0000 110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241 032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253 074,00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266 221,00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1 01 02030 01 0000 110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49,00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1 06 01000 00 0000 110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61 114,00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61 114,00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61 114,00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1 06 06000 00 0000 110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1 459 223,00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1 459 223,00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1 459 223,00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Неналоговые доходы</w:t>
            </w:r>
          </w:p>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в т.ч по кодам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1 17 06020 00 0000 000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Итого собственные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1 761 418,00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1 773 460,00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1 786 607,00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Безвозмездные доходы в т.ч.</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882 227,00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507 632,00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417 812,00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Дотация бюджетам сельских поселений на выравнивание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473 660,00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412 084,00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378 928,00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lastRenderedPageBreak/>
              <w:t>Дотация бюджетам сельских поселений на сбалансированность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65 585,00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Субсидия на заработную плату учреждений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250 512,00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0,00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Субвенции бюджетам сельских поселений на осуществление первичного воинского учета на территории, где отсутствуют военные коммисариаты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92 470,00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95 548,00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sz w:val="12"/>
                <w:szCs w:val="12"/>
                <w:lang w:eastAsia="ru-RU"/>
              </w:rPr>
              <w:t>98 884,00</w:t>
            </w:r>
          </w:p>
        </w:tc>
      </w:tr>
      <w:tr w:rsidR="00F929F3" w:rsidRPr="00F929F3" w:rsidTr="00F929F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Итого бюджет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2 643 645,00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2 281 092,00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F929F3" w:rsidRPr="00F929F3" w:rsidRDefault="00F929F3" w:rsidP="00F929F3">
            <w:pPr>
              <w:spacing w:before="122" w:after="122" w:line="213" w:lineRule="atLeast"/>
              <w:rPr>
                <w:rFonts w:ascii="Verdana" w:eastAsia="Times New Roman" w:hAnsi="Verdana" w:cs="Times New Roman"/>
                <w:sz w:val="12"/>
                <w:szCs w:val="12"/>
                <w:lang w:eastAsia="ru-RU"/>
              </w:rPr>
            </w:pPr>
            <w:r w:rsidRPr="00F929F3">
              <w:rPr>
                <w:rFonts w:ascii="Verdana" w:eastAsia="Times New Roman" w:hAnsi="Verdana" w:cs="Times New Roman"/>
                <w:b/>
                <w:bCs/>
                <w:sz w:val="12"/>
                <w:lang w:eastAsia="ru-RU"/>
              </w:rPr>
              <w:t>2 264 419,00</w:t>
            </w:r>
          </w:p>
        </w:tc>
      </w:tr>
    </w:tbl>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II. Общие подходы к планированию расходов местного бюджета «Пенский сельсовет» Беловского района Курской области на 2022 год и на плановый период 2023 и 2024 годов.</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Планирование расходов местного бюджета на 2022 год и на плановый период 2023 и 2024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Планирование расходов местного бюджета на: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актов Собрания депутатов Пенского сельсовета Беловского района Курской области, регулирующих оплату труда (решения Собрания 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При формировании местного бюджета на 2022-2024 годы применены общие подходы к расчету бюджетных проектировок:</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1) по расходам на оплату труда с начислениями, публичны нормативным и приравненным к ним обязательствам предусмотрена оптимизация в 2022 – 2024 годы до 10% ежегодно;2) по коммунальным услугам предусмотрена ежегодная оптимизация на 2022 – 2024 годы на 3%;</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 тарифами страховых в государственные внебюджетные фонды в размере 30,2%;</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бюджета( постановление Администрации Пенского сельсовета Беловского района Курской области от 12.12 2011года № 43-п);</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2022 год и на плановый период 2023 и 2024 годов» на момент формирования местного бюджета.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Индексация расходов на оплату труда органов местного самоуправления муниципального образования на 2022 год не производилась.</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Раздел 0100 «Общегосударственные вопросы»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i/>
          <w:iCs/>
          <w:color w:val="292D24"/>
          <w:sz w:val="12"/>
          <w:lang w:eastAsia="ru-RU"/>
        </w:rPr>
        <w:t>Подраздел 0102 «Функционирование высшего должностного лица субъекта Российской Федерации и муниципального образования»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 данному подразделу планируются расходы по фонду оплаты труда с начислениями на 2022-2024 годы на уровне 2021 года, которые определяются в соответствии с решением Собрания Депутатов МО «Пенский сельсовет» Беловского района Курской области № 31/82 от 25  октября 2019 года «Об утверждении положений об оплате труда работников МО Пенского сельсовета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i/>
          <w:iCs/>
          <w:color w:val="292D24"/>
          <w:sz w:val="12"/>
          <w:lang w:eastAsia="ru-RU"/>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lastRenderedPageBreak/>
        <w:t>Расходы на содержание местной администрации по фонду оплаты труда с начислениями на 2022-2024 годы планируются на уровне 2021 года, которые определяются в соответствии с решением Собрания Депутатов МО «Пенский сельсовет» Беловского района Курской области №31/88 от 25 октября 2019 года «Об утверждении положений об оплате труда работников МО «Пенский сельсовет », по коммунальным услугам предусмотрено оптимизация на 3,0%, 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i/>
          <w:iCs/>
          <w:color w:val="292D24"/>
          <w:sz w:val="12"/>
          <w:lang w:eastAsia="ru-RU"/>
        </w:rPr>
        <w:t>Подраздел 0113 «Другие общегосударственные вопросы»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 данному подразделу планируются расходы на: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на уплату членских взносов членов в Ассоциацию муниципальных образований Курской области;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на организацию и проведение мероприятий, посвященных празднованию Победы в Великой Отечественной войне;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на уплату налогов, транспортного налога, водного налога;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на осуществление строительного контроля;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на услуги по организации проведение торгов.</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Раздел 0200 «Национальная оборона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Подраздел 0203 «Мобилизационная и вневойсковая подготовка»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2022-2024 годы в 2022г- 89 267,00 рублей, 2023 г — 90 188,00 рублей, 2024 году в сумме 93 746 рублей.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Раздел 0300 «Национальная безопасность и правоохранительная деятельность»</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Подраздел 0310 «Обеспечение пожарной безопасности»</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 данному подразделу на 2022-2024 годы планируются расходы на обеспечение первичных мер пожарной безопасности в границах населенных пунктов поселения в размере 3 000 рублей.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Раздел 0500 «Жилищно-коммунальное хозяйство»</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Подраздел 0503 «Благоустройство»</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i/>
          <w:iCs/>
          <w:color w:val="292D24"/>
          <w:sz w:val="12"/>
          <w:lang w:eastAsia="ru-RU"/>
        </w:rPr>
        <w:t> </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Раздел 0800 «Культура, кинематография»</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Подраздел 0801 «Культура»</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 данному подразделу планируется на создание условий для организации досуга и обеспечения жителей услугами организаций культуры:</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по заработной плате работникам бюджетных учреждений исходя из кассовых расходов за 2021г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по начислениям на оплату труда – исходя из норматива 30,2%</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 по коммунальным услугам – фактические расходы за 2021г с учетом оптимизация на 3,0%.</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2022 -2024годы в сумме 1 287 510 рублей</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Раздел 1100 «Физическая культура и спорт»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b/>
          <w:bCs/>
          <w:color w:val="292D24"/>
          <w:sz w:val="12"/>
          <w:lang w:eastAsia="ru-RU"/>
        </w:rPr>
        <w:t>Подраздел 1102 «Массовый спорт»</w:t>
      </w:r>
    </w:p>
    <w:p w:rsidR="00F929F3" w:rsidRPr="00F929F3" w:rsidRDefault="00F929F3" w:rsidP="00F929F3">
      <w:pPr>
        <w:shd w:val="clear" w:color="auto" w:fill="F8FAFB"/>
        <w:spacing w:before="122" w:after="122" w:line="213" w:lineRule="atLeast"/>
        <w:rPr>
          <w:rFonts w:ascii="Verdana" w:eastAsia="Times New Roman" w:hAnsi="Verdana" w:cs="Times New Roman"/>
          <w:color w:val="292D24"/>
          <w:sz w:val="12"/>
          <w:szCs w:val="12"/>
          <w:lang w:eastAsia="ru-RU"/>
        </w:rPr>
      </w:pPr>
      <w:r w:rsidRPr="00F929F3">
        <w:rPr>
          <w:rFonts w:ascii="Verdana" w:eastAsia="Times New Roman" w:hAnsi="Verdana" w:cs="Times New Roman"/>
          <w:color w:val="292D24"/>
          <w:sz w:val="12"/>
          <w:szCs w:val="12"/>
          <w:lang w:eastAsia="ru-RU"/>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планируются расходы в сумме 18,0 тыс. рублей ежегодно.</w:t>
      </w:r>
    </w:p>
    <w:p w:rsidR="00D54D52" w:rsidRPr="00F929F3" w:rsidRDefault="00D54D52" w:rsidP="00F929F3"/>
    <w:sectPr w:rsidR="00D54D52" w:rsidRPr="00F929F3"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3617E1"/>
    <w:rsid w:val="00401BBA"/>
    <w:rsid w:val="004B2E4F"/>
    <w:rsid w:val="004D3C3C"/>
    <w:rsid w:val="00606328"/>
    <w:rsid w:val="006B7127"/>
    <w:rsid w:val="00726FD5"/>
    <w:rsid w:val="0078576E"/>
    <w:rsid w:val="007876AE"/>
    <w:rsid w:val="008F0045"/>
    <w:rsid w:val="00944129"/>
    <w:rsid w:val="00967E7E"/>
    <w:rsid w:val="009C75BB"/>
    <w:rsid w:val="009D335B"/>
    <w:rsid w:val="009E070C"/>
    <w:rsid w:val="00AC0AA4"/>
    <w:rsid w:val="00AD3747"/>
    <w:rsid w:val="00B121E8"/>
    <w:rsid w:val="00B43CF8"/>
    <w:rsid w:val="00BE3CA3"/>
    <w:rsid w:val="00C71405"/>
    <w:rsid w:val="00D54D52"/>
    <w:rsid w:val="00F235C2"/>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3D119f0k7F" TargetMode="External"/><Relationship Id="rId3" Type="http://schemas.openxmlformats.org/officeDocument/2006/relationships/settings" Target="settings.xml"/><Relationship Id="rId7" Type="http://schemas.openxmlformats.org/officeDocument/2006/relationships/hyperlink" Target="consultantplus://offline/ref=3D4CF882AD44F61CB78531C71F3BFD99A8498F4FF10B93FD02292512BEFAB10893E0A8ACD7BAD2f1k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4CF882AD44F61CB78531C71F3BFD99A8498F4FF10B93FD02292512BEFAB10893E0A8AED7B3fDkCF" TargetMode="External"/><Relationship Id="rId5" Type="http://schemas.openxmlformats.org/officeDocument/2006/relationships/hyperlink" Target="https://www.admpen.ru/munitsipalnoe-obrazovanie-2/postanovleniya/2186-ob-utverzhdenii-metodiki-formirovaniya-byudzheta-munitsipal-nogo-obrazovaniya-penskij-sel-sovet-belovskogo-rajona-kurskoj-oblasti-na-2022-god-i-na-planovyj-period-2023-i-2024-gody-postroeniya-mezhbyudzhetnykh-otnoshenij-mezhdu-oblastnym-byudzhetom-i-byudzhetom-penskogo-sel-soveta-belovskogo-rajona-kurskoj-oblasti-na-2022-god-i-na-planovyj-2023-i-2024-go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3355</Words>
  <Characters>19130</Characters>
  <Application>Microsoft Office Word</Application>
  <DocSecurity>0</DocSecurity>
  <Lines>159</Lines>
  <Paragraphs>44</Paragraphs>
  <ScaleCrop>false</ScaleCrop>
  <Company>SPecialiST RePack</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19</cp:revision>
  <dcterms:created xsi:type="dcterms:W3CDTF">2025-02-11T13:06:00Z</dcterms:created>
  <dcterms:modified xsi:type="dcterms:W3CDTF">2025-02-11T13:14:00Z</dcterms:modified>
</cp:coreProperties>
</file>