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C58" w:rsidRDefault="00ED2C58" w:rsidP="00ED2C5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Об утверждении Порядка предоставления налоговых льгот по земельному налогу инвесторам, реализующим проекты на территории Пенского сельсовета</w:t>
        </w:r>
      </w:hyperlink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                        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 30 августа  2018 года № 15/46 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Об утверждении Порядка предоставления налоговых льгот по земельному налогу инвесторам, реализующим проекты на территории Пенского сельсовета Беловского района Курской области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Во исполнение Представления прокуратуры Беловского района от 06.07.2018 г. № 24-2018/567, в целях повышения эффективности экономического развития Пенского сельсовета Беловского района Курской области за счет привлечения инвестиций в сферу материального производства, стимулирования инвестиционной активности предпринимателей,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Собрание депутатов Пенского сельсовета Беловского района решило</w:t>
      </w:r>
      <w:r>
        <w:rPr>
          <w:rFonts w:ascii="Arial" w:hAnsi="Arial" w:cs="Arial"/>
          <w:color w:val="292D24"/>
        </w:rPr>
        <w:t>: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Порядок предоставления налоговых льгот по земельному налогу инвесторам, реализующим проекты на территории Пенского сельсовета Беловского района Курской области, согласно Приложению № 1 к настоящему решению.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Утвердить форму налогового соглашения, заключаемого с пользователем налоговых льгот, согласно Приложению № 2 к настоящему решению.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Настоящее решение вступает в силу со дня его подписания и подлежит опубликованию в установленном порядке.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Председатель Собрания депутатов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Пенского сельсовета                           В.И. Сафонов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Глава Пенского сельсовета                 А.И. Тищенко                                                     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1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решению Собрания депутатов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Пенского сельсовета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30.08.2018 г. № 15/46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Порядок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предоставления налоговых льгот по земельному налогу инвесторам,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реализующим проекты на территории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Пенского сельсовета Беловского района Курской области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    Основной целью предоставления льгот по земельному налогу инвесторам, реализующим проекты на территории Пенского сельсовета Беловского района Курской области (далее Порядок), предусмотренных настоящим порядком, является стимулирование инвестиционной активности предпринимателей, привлечение инвестиций в сферу материального производства, создание новых рабочих мест, увеличение налогооблагаемой базы на территории Пенского сельсовета Беловского района Курской области (далее – Пенский сельсовет).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Общие положения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1.1.   Настоящий Порядок определяет механизм и условия предоставления муниципальной поддержки в форме льготы по земельному налогу (далее - Льгота) инвесторам, реализующим инвестиционные проекты, которые включены в реестр инвестиционных проектов на территории Пенского сельсовета (далее - реестр инвестиционных проектов), в отношении земельных участков, используемых ими для реализации инвестиционных проектов.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1.2. В целях настоящего Порядка применяются следующие понятия и термины: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1.2.1.    Налоговая льгота - это предоставляемое отдельным категориям налогоплательщиков и плательщиков сборов предусмотренное законодательством о налогах и сборах преимущество по сравнению с другими налогоплательщиками или плательщиками сборов, включая возможность не уплачивать налог или сбор.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1.2.2.Инвестиционный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</w:t>
      </w:r>
      <w:r>
        <w:rPr>
          <w:rFonts w:ascii="Arial" w:hAnsi="Arial" w:cs="Arial"/>
          <w:color w:val="292D24"/>
        </w:rPr>
        <w:lastRenderedPageBreak/>
        <w:t>законодательством Российской Федерации, а также описание практических действий по осуществлению инвестиций (бизнес-план).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1.2.3. Инвестор - субъект инвестиционной деятельности, осуществляющий вложение собственных, заемных или привлеченных средств в форме инвестиций в инвестиционные проекты, реализуемые на территории Пенского сельсовета, в соответствии с законодательством Российской Федерации, законодательством Курской области, муниципальными правовыми актами органов местного самоуправления Беловского муниципального района.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1.3. Пользователями Льготы, предоставляемой в соответствии с настоящим Порядком, являются: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организации - инвесторы (юридические лица, индивидуальные предприниматели), осуществившие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Пенского сельсовета, в соответствии с приоритетными направлениями развития экономики муниципального района;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организации - инвесторы (юридические лица, индивидуальные предприниматели), являющиеся субъектами малого и среднего предпринимательства, осуществившие в рамках реализации инвестиционного проекта капитальные вложения в объекты производственных инвестиций, основные средства, расположенные на территории Пенского сельсовета, в соответствии с приоритетными направлениями развития экономики муниципального района.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1.4. Приоритетными направлениями развития экономики муниципального района являются следующие виды экономической деятельности, согласно Общероссийскому классификатору видов экономической деятельности: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реализация инновационных проектов;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строительство промышленных предприятий и предприятий переработки сельскохозяйственной продукции;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производство социально - значимой продукции и услуг;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развитие сельскохозяйственного производства;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строительство социальных и социально значимых объектов;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развитие транспортных коммуникаций, транспорта и связи.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1.5. Срок предоставления Льготы - 3 года.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1.6. Льгота предоставляется Инвестору в размере 50% от уплаченного земельного налога. Льгота предоставляется один раз в течение срока реализации инвестиционного проекта, включенного в реестр инвестиционных проектов.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Условия и порядок предоставления льгот по земельному налогу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2.1. Инвестор может претендовать на получение муниципальной поддержки в форме Льготы в случае использования земельного участка, находящегося в собственности либо в постоянном (бессрочном) пользовании, в целях реализации инвестиционного проекта.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2.2. Налогоплательщик (юридическое лицо, индивидуальный предприниматель) признается инвестором, имеющим право на предоставление Льготы, на основе налогового соглашения, заключаемого между администрацией Пенского сельсовета (далее - Администрация) в лице главы администрации и налогоплательщиком в лице руководителя юридического лица, индивидуального предпринимателя. Налоговая льгота вступает в силу с 1 числа квартала, в котором было заключено налоговое соглашение.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2.3.   Налоговое соглашение заключается на основании следующих документов, направленных в адрес Администрации: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  письменное заявление пользователя на имя главы администрации с просьбой заключить налоговое соглашение с указанием полного фирменного наименования юридического лица, индивидуального предпринимателя, местонахождения, основных видов хозяйственной деятельности, величины уставного капитала (для юридических лиц), вида вкладов в уставный капитал (для юридических лиц);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  копия свидетельства о регистрации;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в)  справка банка, подтверждающая оплату заявленного уставного капитала или акт оценки имущественного вклада в уставный капитал (оригинал или нотариально заверенная копия);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г)  справка из налогового органа об отсутствии задолженности в бюджеты всех уровней по налогам, сборам и иным платежам, а также внебюджетным фондам;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д)  краткое описание (бизнес-план) инвестиционного проекта: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укрупненный перечень вновь создаваемых или модернизируемых основных фондов с указанием срока ввода их в эксплуатацию;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план - график и объемы намечаемых инвестиций;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- документ по оценке эквивалента стоимости вносимого имущества (в случае имущественных инвестиций);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описание формы обеспечения налогового соглашения в случае невыполнения инвестиционного проекта (с приложением документов, подтверждающих обеспечение обязательств: гарантии банка, имущественный комплекс);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е)      письменное обязательство инвестора об установлении на объекте производственных инвестиций средней заработной платы в размере, не ниже сложившегося уровня среднего размера заработной платы по району (по данным органов статистики), действующего в соответствующем периоде.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2.4.   Администрация по согласованию с Финансовым органом администрации Беловского муниципального района (далее - Финансовый орган) в течение 15 дней с даты представления документов в полном объеме рассматривает представленные материалы и дает соответствующее заключение.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2.5.     В случае положительного заключения по результатам рассмотрения представленных материалов администрация и заявитель подписывают налоговое соглашение. Налоговое соглашение составляется в 4 экземплярах: 1 экз. - заявителю: 1 экз. - Администрации; 1 экз. - для налоговой инспекции; 1 экз. - в Финансовый орган.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2.6.    Отказ в заключении налогового соглашения направляется заявителю в письменной форме с мотивированной причиной отказа.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2.7.      В случае невыполнения условий, предусмотренных в налоговом соглашении: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срока введения в эксплуатацию объектов производственных инвестиций;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уменьшения величины вложенных инвестиций;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       досрочного расторжения налогового соглашения пользователем в одностороннем порядке;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установления размера средней заработной платы ниже сложившегося уровня среднего размера заработной платы по району (по данным органов статистики), пользователь в бесспорном порядке выплачивает в бюджет Пенского сельсовета полную сумму налогов, которые не были внесены в течение всего срока пользования льготами по данному налоговому соглашению.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Ограничения по предоставлению налоговых льгот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3.1. Установить, что сумма выпадающих собственных доходов местного бюджета от налоговых льгот, представленных в соответствии с настоящим </w:t>
      </w:r>
      <w:r>
        <w:rPr>
          <w:rFonts w:ascii="Arial" w:hAnsi="Arial" w:cs="Arial"/>
          <w:color w:val="292D24"/>
        </w:rPr>
        <w:lastRenderedPageBreak/>
        <w:t>Порядком, не может превышать 5% объема фактических доходов бюджета Пенского сельсовета в расчете за 1 год.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3.2.  При превышении ограничения, установленного пунктом 3.1 Порядка, глава Пенского сельсовета выносит на рассмотрение Собрания депутатов Пенского сельсовета проект решения об ограничении предоставления Льготы при соблюдении следующей последовательности: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снижение до 50% установленной Льготы по земельному налогу;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приостановка в текущем финансовом году действия Льготы, предоставляемой настоящим Порядком.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3.3.  Снижение льготы по земельному налогу вводится в действие с периода, следующего за отчетным, по итогам которого сумма выпадающих доходов местного бюджета превысила величину, установленную в пункте 3.1. Снижение льготы по земельному налогу устанавливается до конца финансового года.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Использование средств, полученных в результате предоставления льгот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4.1. Средства, высвобожденные у налогоплательщика в результате использования Льготы, могут быть направлены исключительно на финансирование затрат на развитие предприятия, обеспечение занятости, сохранение и увеличение рабочих мест.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4.2.Затратами на развитие предприятия, обеспечение занятости, сохранение и увеличение рабочих мест признаются: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а)  затраты на освоение новых видов продукции, технологических процессов, техническое перевооружение, подготовку и переподготовку кадров;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б)  затраты на долгосрочные инвестиции, связанные с новым строительством, реконструкцией, увеличением производственных мощностей, модернизацией основных фондов.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 Контроль и анализ эффективности действия льгот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5.1. Контроль за выполнением налогового соглашения осуществляет Администрация.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5.2.   Заявители, пользующиеся Льготой, ежегодно (нарастающим итогом) представляют в Администрацию отчет о выполнении инвестиционного проекта: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  расчет суммы средств, высвободившихся в результате применения Льготы, с визой налоговой инспекции, составленный в сроки и по формам, установленным налоговым законодательством для соответствующих налогов и сборов, по которым применена Льгота;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-  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 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Льготы.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5.3.   Сведения, указанные в п. 5.2, должны быть представлены в сроки, предусмотренные законодательством для сдачи отчетов по соответствующим налогам и сборам, по которым применена Льгота.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5.4.  Администрация ежегодно составляет аналитическую справку о результатах действия Льготы, содержащую следующую информацию: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  перечень налогоплательщиков, пользующихся Льготой;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сумма средств, высвободившихся у налогоплательщиков в результате предоставления Льготы, и направление их использования;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  выводы о целесообразности применения установленной Льготы.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5.5.    Аналитическая справка по результатам финансового года ежегодно предоставляется Собранию депутатов Пенского сельсовета Беловского района.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Приложение № 2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к решению Собрания депутатов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Пенского сельсовета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Беловского района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от 30.08.2018 г. № 15/46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НАЛОГОВОЕ СОГЛАШЕНИЕ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С. Пены                                                                                  «___» _________ _____ г.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Администрация Пенского сельсовета Беловского района Курской области (далее - Администрация) в лице главы администрации Пенского сельсовета Беловского района Курской области ______________________________, действующего на основании Устава муниципального образования Пенский сельсовет Беловского района Курской области, и _________________________________________________ (далее Налогоплательщик) в лице ______________________________________________,     действующего на основании _____________________________________________,   руководствуясь решением Собрания депутатов Пенского сельсовета Беловского района Курской </w:t>
      </w:r>
      <w:r>
        <w:rPr>
          <w:rFonts w:ascii="Arial" w:hAnsi="Arial" w:cs="Arial"/>
          <w:color w:val="292D24"/>
        </w:rPr>
        <w:lastRenderedPageBreak/>
        <w:t>области от «___»_________ 20__ г. № _____, заключили настоящее соглашение о нижеследующем: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Предоставить Налогоплательщику на условиях, предусмотренных настоящим соглашением, налоговую льготу по земельному налогу (далее - налоговую льготу) в рамках реализации инвестиционного проекта:_______________________________________________________________                             (наименование инвестиционного проекта) на срок ______________________.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Налогоплательщик обязуется ежегодно (нарастающим итогом) со дня подписания настоящего соглашения представлять в Администрацию отчет о выполнении инвестиционного проекта: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расчет суммы средств, высвободившихся в результате применения налоговой льготы с визой налоговой инспекции, составленный в сроки и по форме, установленным налоговым законодательством для соответствующих налогов и сборов, по которым применена налоговая льгота;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сроки и объемы выполненных работ в соответствии с планом-графиком инвестиционного проекта (размер вложенных производственных инвестиций должен быть отражен в формах статистической отчетности);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пояснительную записку, содержащую сведения о состоянии дел по проекту и направлении использования средств, высвободившихся в результате предоставления налоговой льготы.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В случае невыполнения следующих условий: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срока введения в эксплуатацию объекта производственных инвестиций;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уменьшения величины вложенных инвестиций;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досрочного расторжения налогового соглашения налогоплательщиком в одностороннем порядке;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установления среднего размера заработной платы не ниже сложившегося уровня среднего размера заработной платы по муниципальному району (по данным органов статистики), действующего на данный период;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- непредставления в Администрацию сведений, предусмотренных п. 2 настоящего соглашения, налогоплательщик в бесспорном порядке выплачивает в бюджет Пенского сельсовета полную сумму налогов, которые не были внесены в течение всего срока пользования налоговой льготой по данному соглашению.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 xml:space="preserve">4. Администрация Пенского сельсовета вправе частично или полностью приостановить действие налоговой льготы, предусмотренной настоящим </w:t>
      </w:r>
      <w:r>
        <w:rPr>
          <w:rFonts w:ascii="Arial" w:hAnsi="Arial" w:cs="Arial"/>
          <w:color w:val="292D24"/>
        </w:rPr>
        <w:lastRenderedPageBreak/>
        <w:t>соглашением, если сумма выпадающих собственных доходов местного бюджета от применения налоговой льготы превысит 5 % объема фактических доходов бюджета Пенского сельсовета за 1 год.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5. Итоговый отчет должен быть представлен Налогоплательщиком на согласование не позднее 14 рабочих дней со дня окончания действия налоговой льготы, предусмотренной настоящим соглашением.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6. Итоговый отчет должен быть рассмотрен согласующими сторонами в срок не превышающий 30 календарных дней со дня его подачи.</w:t>
      </w:r>
    </w:p>
    <w:p w:rsidR="00ED2C58" w:rsidRDefault="00ED2C58" w:rsidP="00ED2C58">
      <w:pPr>
        <w:pStyle w:val="a7"/>
        <w:shd w:val="clear" w:color="auto" w:fill="FFFFFF"/>
        <w:spacing w:before="195" w:beforeAutospacing="0" w:after="195" w:afterAutospacing="0" w:line="341" w:lineRule="atLeast"/>
        <w:ind w:firstLine="709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7.   Условия настоящего соглашения считаются полностью исполненными после истечения срока предоставления налоговой льготы и утверждения Администрацией Пенского сельсовета согласованного с Финансовым органом администрации Беловского района итогового отчета.</w:t>
      </w:r>
    </w:p>
    <w:tbl>
      <w:tblPr>
        <w:tblW w:w="0" w:type="auto"/>
        <w:tblInd w:w="15" w:type="dxa"/>
        <w:shd w:val="clear" w:color="auto" w:fill="F8FAFB"/>
        <w:tblCellMar>
          <w:left w:w="0" w:type="dxa"/>
          <w:right w:w="0" w:type="dxa"/>
        </w:tblCellMar>
        <w:tblLook w:val="04A0"/>
      </w:tblPr>
      <w:tblGrid>
        <w:gridCol w:w="4730"/>
        <w:gridCol w:w="4826"/>
      </w:tblGrid>
      <w:tr w:rsidR="00ED2C58" w:rsidTr="00ED2C58">
        <w:trPr>
          <w:trHeight w:val="645"/>
        </w:trPr>
        <w:tc>
          <w:tcPr>
            <w:tcW w:w="496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58" w:rsidRDefault="00ED2C5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Администрации</w:t>
            </w:r>
          </w:p>
        </w:tc>
        <w:tc>
          <w:tcPr>
            <w:tcW w:w="507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58" w:rsidRDefault="00ED2C5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Налогоплательщика</w:t>
            </w:r>
          </w:p>
        </w:tc>
      </w:tr>
      <w:tr w:rsidR="00ED2C58" w:rsidTr="00ED2C58">
        <w:trPr>
          <w:trHeight w:val="555"/>
        </w:trPr>
        <w:tc>
          <w:tcPr>
            <w:tcW w:w="4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58" w:rsidRDefault="00ED2C5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______________________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58" w:rsidRDefault="00ED2C5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______________________</w:t>
            </w:r>
          </w:p>
        </w:tc>
      </w:tr>
      <w:tr w:rsidR="00ED2C58" w:rsidTr="00ED2C58">
        <w:tc>
          <w:tcPr>
            <w:tcW w:w="496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58" w:rsidRDefault="00ED2C5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М.П.</w:t>
            </w:r>
          </w:p>
        </w:tc>
        <w:tc>
          <w:tcPr>
            <w:tcW w:w="507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8FAF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2C58" w:rsidRDefault="00ED2C58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292D24"/>
              </w:rPr>
              <w:t>М.П.</w:t>
            </w:r>
          </w:p>
        </w:tc>
      </w:tr>
    </w:tbl>
    <w:p w:rsidR="008B3D56" w:rsidRPr="00ED2C58" w:rsidRDefault="008B3D56" w:rsidP="00ED2C58">
      <w:pPr>
        <w:rPr>
          <w:szCs w:val="28"/>
        </w:rPr>
      </w:pPr>
    </w:p>
    <w:sectPr w:rsidR="008B3D56" w:rsidRPr="00ED2C58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12A1"/>
    <w:rsid w:val="00B1308E"/>
    <w:rsid w:val="00B1622E"/>
    <w:rsid w:val="00B45E4B"/>
    <w:rsid w:val="00B53F92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resheniya/1110-ob-utverzhdenii-poryadka-predostavleniya-nalogovykh-lgot-po-zemelnomu-nalogu-investoram-realizuyushchim-proekty-na-territorii-penskogo-selsovet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3F5B-348C-4706-8863-72570DE53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9</Pages>
  <Words>2472</Words>
  <Characters>14094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130</cp:revision>
  <cp:lastPrinted>2025-02-07T07:46:00Z</cp:lastPrinted>
  <dcterms:created xsi:type="dcterms:W3CDTF">2024-08-30T09:05:00Z</dcterms:created>
  <dcterms:modified xsi:type="dcterms:W3CDTF">2025-02-12T11:37:00Z</dcterms:modified>
</cp:coreProperties>
</file>