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78" w:rsidRPr="00676178" w:rsidRDefault="00676178" w:rsidP="00676178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676178">
          <w:rPr>
            <w:rFonts w:ascii="Palatino Linotype" w:eastAsia="Times New Roman" w:hAnsi="Palatino Linotype" w:cs="Times New Roman"/>
            <w:color w:val="98A48E"/>
            <w:u w:val="single"/>
            <w:lang w:eastAsia="ru-RU"/>
          </w:rPr>
          <w:t>ПОСТАНОВЛЕНИЕ от 01 августа 2023 г. №36-П Об исполнении бюджета муниципального образования «Пенский сельсовет» Беловского района Курской области за второй квартал 2023 года</w:t>
        </w:r>
      </w:hyperlink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КУРСКОЙ ОБЛАСТИ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01 августа 2023 г. №36-П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 исполнении бюджета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«Пенский сельсовет»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Беловского района Курской области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1.Утвердить отчет об исполнении бюджета муниципального образования «Пенский сельсовет» Беловского района Курской области за первый квартал 2023 года по доходам в сумме 2 593 925 рублей 54 копейки, по расходам в сумме 1 272 197 рублей 02 копейки с превышением доходов над расходами в сумме 1 321 728 рублей 52 копейки и со следующими показателями: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по источникам финансирования дефицита местного бюджета за второй квартал 2023 года согласно приложению № 1 к настоящему решению;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по поступлению доходов в местный бюджет за второй квартал 2023 года согласно приложению № 2 к настоящему решению;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по распределению бюджетных ассигнований во втором квартале 2023 года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второй квартал 2023 года согласно приложению № 4 к настоящему решению;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второй квартал 2023 года согласно приложению № 5;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второй квартал 2023 года согласно приложению № 6 к настоящему решению;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второй квартал 2023 года согласно приложению № 7 к настоящему решению.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Настоящее постановление вступает в силу со дня его официального опубликования в установленном порядке.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1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Источники финансирования дефицита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местного бюджета 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4"/>
        <w:gridCol w:w="3996"/>
        <w:gridCol w:w="994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Код бюджетной                              классификации               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 источников                              финансирования   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Исполнено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- 1 321 728,52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- 1 321 728,52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-2 593 925,54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средств  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-2 593 925,54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-2 593 925,54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Увеличение прочих остатков денежных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-2 593 925,54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01 05 02 01 00 0000 610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средств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- 1 321 728,52</w:t>
            </w:r>
          </w:p>
        </w:tc>
      </w:tr>
    </w:tbl>
    <w:p w:rsidR="00676178" w:rsidRPr="00676178" w:rsidRDefault="00676178" w:rsidP="00676178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2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Поступления доходов в местный бюджет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во втором квартале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232"/>
        <w:gridCol w:w="3106"/>
        <w:gridCol w:w="3033"/>
        <w:gridCol w:w="466"/>
        <w:gridCol w:w="466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Код бюджетной                            классификации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Исполнение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00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1 357 305,54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01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93 366,76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01  02000  01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93 457,02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01  02010  01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vertAlign w:val="superscript"/>
                <w:lang w:eastAsia="ru-RU"/>
              </w:rPr>
              <w:t>1 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93 457,02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01  02030  01  0000  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-90,26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 1  06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1 252 068,78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 1  06  01000  00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1 278,63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01030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1 278,63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  06  06000  00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1 250 790,15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06033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1 243 340,00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  06  06043  10  0000  110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7 450,15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1  11  00000  00  0000  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47 480,00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05000  00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05020  00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1  11  05025  10  0000  120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47 480,00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1 17 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-35 610,00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 17   01000  00  0000  180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федеральный бюджет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-35 610,00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1 17   01050  10  0000  180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-35 610,00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00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1 236 620,00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00000  00  0000  000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1 236 620,00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02  10000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1 180 556,00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15001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944 486,00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15002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944 486,00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15002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944 486,00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 2  02  16000  00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236 070,00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2  02  16001  00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236 070,00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2  02  16001  10  0000  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236 070,00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 2  02  3000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35118  00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 2  02  35118  10  0000  150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 ДОХОДОВ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2 593 925,54</w:t>
            </w:r>
          </w:p>
        </w:tc>
      </w:tr>
      <w:tr w:rsidR="00676178" w:rsidRPr="00676178" w:rsidTr="00676178"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3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 № 36-П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5"/>
        <w:gridCol w:w="209"/>
        <w:gridCol w:w="250"/>
        <w:gridCol w:w="551"/>
        <w:gridCol w:w="267"/>
        <w:gridCol w:w="932"/>
      </w:tblGrid>
      <w:tr w:rsidR="00676178" w:rsidRPr="00676178" w:rsidTr="00676178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во втором квартале 2023 года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76178" w:rsidRPr="00676178" w:rsidTr="00676178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gridSpan w:val="6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952 613,48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342 858,81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369 439,67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73 1 00 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540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6" w:history="1">
              <w:r w:rsidRPr="00676178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87 621,34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4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 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Ведомственная структура расходов бюджета  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 муниципального образования «Пенский сельсовет»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 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8"/>
        <w:gridCol w:w="294"/>
        <w:gridCol w:w="209"/>
        <w:gridCol w:w="250"/>
        <w:gridCol w:w="544"/>
        <w:gridCol w:w="267"/>
        <w:gridCol w:w="932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ГР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1 272 197,02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952 613,48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240 315,00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342 858,81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308 779,67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Другие общегосударственные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вопросы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369 439,67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администраций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23 910,00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73 1 00 П1485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11 955,00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345 529,67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56 064,00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Муниципальная </w:t>
            </w:r>
            <w:hyperlink r:id="rId7" w:history="1">
              <w:r w:rsidRPr="00676178">
                <w:rPr>
                  <w:rFonts w:ascii="Verdana" w:eastAsia="Times New Roman" w:hAnsi="Verdana" w:cs="Times New Roman"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13 0 00 </w:t>
            </w: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87 621,34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5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направлениям деятельности), группам видов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расходов 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10"/>
        <w:gridCol w:w="600"/>
        <w:gridCol w:w="267"/>
        <w:gridCol w:w="80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ВР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4" w:after="0" w:line="292" w:lineRule="atLeast"/>
              <w:outlineLvl w:val="0"/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</w:pPr>
            <w:r w:rsidRPr="00676178">
              <w:rPr>
                <w:rFonts w:ascii="Palatino Linotype" w:eastAsia="Times New Roman" w:hAnsi="Palatino Linotype" w:cs="Times New Roman"/>
                <w:color w:val="7D7D7D"/>
                <w:kern w:val="36"/>
                <w:sz w:val="24"/>
                <w:szCs w:val="24"/>
                <w:lang w:eastAsia="ru-RU"/>
              </w:rPr>
              <w:t>Сумма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297 598,68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01 0 00 00000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01 1 01 С1444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169 124,88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2017-2022 гг.»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87 621,34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34 079,14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Муниципальная </w:t>
            </w:r>
            <w:hyperlink r:id="rId8" w:history="1">
              <w:r w:rsidRPr="00676178">
                <w:rPr>
                  <w:rFonts w:ascii="Verdana" w:eastAsia="Times New Roman" w:hAnsi="Verdana" w:cs="Times New Roman"/>
                  <w:b/>
                  <w:bCs/>
                  <w:color w:val="7D7D7D"/>
                  <w:sz w:val="12"/>
                  <w:u w:val="single"/>
                  <w:lang w:eastAsia="ru-RU"/>
                </w:rPr>
                <w:t>программа</w:t>
              </w:r>
            </w:hyperlink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6 773,32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327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6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 01 августа 2023 г.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lastRenderedPageBreak/>
        <w:t> 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внутренних заимствований муниципального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образования «Пенский сельсовет»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Беловского района Курской области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 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 1. Привлечение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3492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привлечения средств за второй квартал 2023 г.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Погашение внутренних заимствований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"/>
        <w:gridCol w:w="5426"/>
        <w:gridCol w:w="1860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погашения средств за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второй квартал 2023 г.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(рублей)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3574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Приложение № 7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 постановлению главы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Пенского сельсовета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Беловского района Курской области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                                       от 01 августа 2023 г. № 36-П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 </w:t>
      </w:r>
    </w:p>
    <w:p w:rsidR="00676178" w:rsidRPr="00676178" w:rsidRDefault="00676178" w:rsidP="00676178">
      <w:pPr>
        <w:shd w:val="clear" w:color="auto" w:fill="F8FAFB"/>
        <w:spacing w:before="94" w:after="0" w:line="247" w:lineRule="atLeast"/>
        <w:outlineLvl w:val="1"/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D7D7D"/>
          <w:sz w:val="21"/>
          <w:szCs w:val="21"/>
          <w:lang w:eastAsia="ru-RU"/>
        </w:rPr>
        <w:t>Программа муниципальных гарантий</w:t>
      </w:r>
    </w:p>
    <w:p w:rsidR="00676178" w:rsidRPr="00676178" w:rsidRDefault="00676178" w:rsidP="00676178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муниципального образования «Пенский сельсовет» </w:t>
      </w:r>
    </w:p>
    <w:p w:rsidR="00676178" w:rsidRPr="00676178" w:rsidRDefault="00676178" w:rsidP="00676178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    Беловского район Курской области</w:t>
      </w:r>
    </w:p>
    <w:p w:rsidR="00676178" w:rsidRPr="00676178" w:rsidRDefault="00676178" w:rsidP="00676178">
      <w:pPr>
        <w:shd w:val="clear" w:color="auto" w:fill="F8FAFB"/>
        <w:spacing w:before="94" w:after="0" w:line="224" w:lineRule="atLeast"/>
        <w:outlineLvl w:val="2"/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</w:pPr>
      <w:r w:rsidRPr="00676178">
        <w:rPr>
          <w:rFonts w:ascii="Palatino Linotype" w:eastAsia="Times New Roman" w:hAnsi="Palatino Linotype" w:cs="Times New Roman"/>
          <w:color w:val="7C8A6F"/>
          <w:sz w:val="19"/>
          <w:szCs w:val="19"/>
          <w:lang w:eastAsia="ru-RU"/>
        </w:rPr>
        <w:t>за второй квартал 2023 года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второй квартал 2023 года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"/>
        <w:gridCol w:w="1339"/>
        <w:gridCol w:w="1629"/>
        <w:gridCol w:w="1872"/>
        <w:gridCol w:w="2286"/>
        <w:gridCol w:w="1539"/>
        <w:gridCol w:w="604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9" w:after="9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   </w:t>
            </w:r>
          </w:p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гарантии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образования «Пенский сельсовет» Беловского района Курской области по возможным гарантийным случаям,</w:t>
      </w:r>
    </w:p>
    <w:p w:rsidR="00676178" w:rsidRPr="00676178" w:rsidRDefault="00676178" w:rsidP="00676178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676178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второй квартал 2023 года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8"/>
        <w:gridCol w:w="5676"/>
      </w:tblGrid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676178" w:rsidRPr="00676178" w:rsidTr="00676178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676178" w:rsidRPr="00676178" w:rsidRDefault="00676178" w:rsidP="00676178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676178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</w:t>
            </w:r>
          </w:p>
        </w:tc>
      </w:tr>
    </w:tbl>
    <w:p w:rsidR="00D54D52" w:rsidRPr="00676178" w:rsidRDefault="00D54D52" w:rsidP="00676178"/>
    <w:sectPr w:rsidR="00D54D52" w:rsidRPr="0067617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3E6"/>
    <w:multiLevelType w:val="multilevel"/>
    <w:tmpl w:val="8BA8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8037D"/>
    <w:multiLevelType w:val="multilevel"/>
    <w:tmpl w:val="F884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73733"/>
    <w:multiLevelType w:val="multilevel"/>
    <w:tmpl w:val="9B16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796E50"/>
    <w:multiLevelType w:val="multilevel"/>
    <w:tmpl w:val="A24C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402B71"/>
    <w:multiLevelType w:val="multilevel"/>
    <w:tmpl w:val="B27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1364D6"/>
    <w:multiLevelType w:val="multilevel"/>
    <w:tmpl w:val="7050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4454D"/>
    <w:multiLevelType w:val="multilevel"/>
    <w:tmpl w:val="B288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B8622B"/>
    <w:multiLevelType w:val="multilevel"/>
    <w:tmpl w:val="BF80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21008"/>
    <w:multiLevelType w:val="multilevel"/>
    <w:tmpl w:val="8BC0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000F9"/>
    <w:multiLevelType w:val="multilevel"/>
    <w:tmpl w:val="12AC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F2735C"/>
    <w:multiLevelType w:val="multilevel"/>
    <w:tmpl w:val="BB2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04483"/>
    <w:multiLevelType w:val="multilevel"/>
    <w:tmpl w:val="2A64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10356"/>
    <w:multiLevelType w:val="multilevel"/>
    <w:tmpl w:val="68D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1F119F"/>
    <w:multiLevelType w:val="multilevel"/>
    <w:tmpl w:val="8848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3095D"/>
    <w:multiLevelType w:val="multilevel"/>
    <w:tmpl w:val="B9A8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E30A2"/>
    <w:multiLevelType w:val="multilevel"/>
    <w:tmpl w:val="ECF4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964BB0"/>
    <w:multiLevelType w:val="multilevel"/>
    <w:tmpl w:val="DD4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50250"/>
    <w:multiLevelType w:val="multilevel"/>
    <w:tmpl w:val="E26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9A52E5"/>
    <w:multiLevelType w:val="multilevel"/>
    <w:tmpl w:val="E3B8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70FEB"/>
    <w:multiLevelType w:val="multilevel"/>
    <w:tmpl w:val="DB5E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F222F9"/>
    <w:multiLevelType w:val="multilevel"/>
    <w:tmpl w:val="B16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C32936"/>
    <w:multiLevelType w:val="multilevel"/>
    <w:tmpl w:val="6704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272907"/>
    <w:multiLevelType w:val="multilevel"/>
    <w:tmpl w:val="6ED8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116A14"/>
    <w:multiLevelType w:val="multilevel"/>
    <w:tmpl w:val="9FC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8374C"/>
    <w:multiLevelType w:val="multilevel"/>
    <w:tmpl w:val="556A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D562D"/>
    <w:multiLevelType w:val="multilevel"/>
    <w:tmpl w:val="6624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AF65C2"/>
    <w:multiLevelType w:val="multilevel"/>
    <w:tmpl w:val="43E6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FB33CB"/>
    <w:multiLevelType w:val="multilevel"/>
    <w:tmpl w:val="447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D712CED"/>
    <w:multiLevelType w:val="multilevel"/>
    <w:tmpl w:val="5D90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E334C47"/>
    <w:multiLevelType w:val="multilevel"/>
    <w:tmpl w:val="1CF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FC5981"/>
    <w:multiLevelType w:val="multilevel"/>
    <w:tmpl w:val="EB6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7A42BF"/>
    <w:multiLevelType w:val="multilevel"/>
    <w:tmpl w:val="AB1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57F63"/>
    <w:multiLevelType w:val="multilevel"/>
    <w:tmpl w:val="B88C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D6F12AF"/>
    <w:multiLevelType w:val="multilevel"/>
    <w:tmpl w:val="F1E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187BF1"/>
    <w:multiLevelType w:val="multilevel"/>
    <w:tmpl w:val="3D8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C822E1"/>
    <w:multiLevelType w:val="multilevel"/>
    <w:tmpl w:val="798A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803CCD"/>
    <w:multiLevelType w:val="multilevel"/>
    <w:tmpl w:val="6A88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81446F"/>
    <w:multiLevelType w:val="multilevel"/>
    <w:tmpl w:val="34A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39"/>
  </w:num>
  <w:num w:numId="5">
    <w:abstractNumId w:val="47"/>
  </w:num>
  <w:num w:numId="6">
    <w:abstractNumId w:val="26"/>
  </w:num>
  <w:num w:numId="7">
    <w:abstractNumId w:val="22"/>
  </w:num>
  <w:num w:numId="8">
    <w:abstractNumId w:val="27"/>
  </w:num>
  <w:num w:numId="9">
    <w:abstractNumId w:val="41"/>
  </w:num>
  <w:num w:numId="10">
    <w:abstractNumId w:val="28"/>
  </w:num>
  <w:num w:numId="11">
    <w:abstractNumId w:val="11"/>
  </w:num>
  <w:num w:numId="12">
    <w:abstractNumId w:val="34"/>
  </w:num>
  <w:num w:numId="13">
    <w:abstractNumId w:val="45"/>
  </w:num>
  <w:num w:numId="14">
    <w:abstractNumId w:val="42"/>
  </w:num>
  <w:num w:numId="15">
    <w:abstractNumId w:val="9"/>
  </w:num>
  <w:num w:numId="16">
    <w:abstractNumId w:val="7"/>
  </w:num>
  <w:num w:numId="17">
    <w:abstractNumId w:val="38"/>
  </w:num>
  <w:num w:numId="18">
    <w:abstractNumId w:val="12"/>
  </w:num>
  <w:num w:numId="19">
    <w:abstractNumId w:val="43"/>
  </w:num>
  <w:num w:numId="20">
    <w:abstractNumId w:val="19"/>
  </w:num>
  <w:num w:numId="21">
    <w:abstractNumId w:val="33"/>
  </w:num>
  <w:num w:numId="22">
    <w:abstractNumId w:val="15"/>
  </w:num>
  <w:num w:numId="23">
    <w:abstractNumId w:val="24"/>
  </w:num>
  <w:num w:numId="24">
    <w:abstractNumId w:val="48"/>
  </w:num>
  <w:num w:numId="25">
    <w:abstractNumId w:val="2"/>
  </w:num>
  <w:num w:numId="26">
    <w:abstractNumId w:val="30"/>
  </w:num>
  <w:num w:numId="27">
    <w:abstractNumId w:val="14"/>
  </w:num>
  <w:num w:numId="28">
    <w:abstractNumId w:val="29"/>
  </w:num>
  <w:num w:numId="29">
    <w:abstractNumId w:val="44"/>
  </w:num>
  <w:num w:numId="30">
    <w:abstractNumId w:val="18"/>
  </w:num>
  <w:num w:numId="31">
    <w:abstractNumId w:val="8"/>
  </w:num>
  <w:num w:numId="32">
    <w:abstractNumId w:val="5"/>
  </w:num>
  <w:num w:numId="33">
    <w:abstractNumId w:val="23"/>
  </w:num>
  <w:num w:numId="34">
    <w:abstractNumId w:val="0"/>
  </w:num>
  <w:num w:numId="35">
    <w:abstractNumId w:val="36"/>
  </w:num>
  <w:num w:numId="36">
    <w:abstractNumId w:val="31"/>
  </w:num>
  <w:num w:numId="37">
    <w:abstractNumId w:val="1"/>
  </w:num>
  <w:num w:numId="38">
    <w:abstractNumId w:val="20"/>
  </w:num>
  <w:num w:numId="39">
    <w:abstractNumId w:val="10"/>
  </w:num>
  <w:num w:numId="40">
    <w:abstractNumId w:val="49"/>
  </w:num>
  <w:num w:numId="41">
    <w:abstractNumId w:val="16"/>
  </w:num>
  <w:num w:numId="42">
    <w:abstractNumId w:val="46"/>
  </w:num>
  <w:num w:numId="43">
    <w:abstractNumId w:val="35"/>
  </w:num>
  <w:num w:numId="44">
    <w:abstractNumId w:val="40"/>
  </w:num>
  <w:num w:numId="45">
    <w:abstractNumId w:val="32"/>
  </w:num>
  <w:num w:numId="46">
    <w:abstractNumId w:val="17"/>
  </w:num>
  <w:num w:numId="47">
    <w:abstractNumId w:val="13"/>
  </w:num>
  <w:num w:numId="48">
    <w:abstractNumId w:val="25"/>
  </w:num>
  <w:num w:numId="49">
    <w:abstractNumId w:val="37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37382"/>
    <w:rsid w:val="00B43CF8"/>
    <w:rsid w:val="00B87638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https://www.admpen.ru/munitsipalnoe-obrazovanie-2/byudzhety/2737-postanovlenie-ot-01-avgusta-2023-g-36-p-ob-ispolnenii-byudzheta-munitsipal-nogo-obrazovaniya-penskij-sel-sovet-belovskogo-rajona-kurskoj-oblasti-za-vtoroj-kvartal-2023-go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4318</Words>
  <Characters>24616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68</cp:revision>
  <dcterms:created xsi:type="dcterms:W3CDTF">2025-02-11T13:06:00Z</dcterms:created>
  <dcterms:modified xsi:type="dcterms:W3CDTF">2025-02-11T14:00:00Z</dcterms:modified>
</cp:coreProperties>
</file>