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5030" w14:textId="77777777" w:rsidR="0025319F" w:rsidRDefault="0025319F" w:rsidP="0025319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imushchestvennaya-podderzhka-subektov-msp/normativnye-pravovye-akty/2569-administratsiya-penskogo-sel-soveta-belovskogo-rajona-kurskoj-oblasti-postanovlenie-ot-02-fevralya-2023-goda-n-9-p-ob-osobennostyakh-regulirovaniya-zemel-nykh-otnoshenij-na-territorii-penskogo-sel-soveta-belovskogo-rajona-kurskoj-oblasti-v-usloviyakh-prinyatiya-antikrizisnykh-mer-napravlennykh-na-podderzhku-malogo-i-srednego-predprinimatel-stv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02 февраля 2023 года N 9-П Об особенностях регулирования земельных отношений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в условиях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приня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7933846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5E2C00D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  СЕЛЬСОВЕТА</w:t>
      </w:r>
      <w:proofErr w:type="gramEnd"/>
    </w:p>
    <w:p w14:paraId="16EE9EC6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5B4DC2B5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1337D1C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3F536F77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 от 02 февраля 2023 года N 9-П</w:t>
      </w:r>
    </w:p>
    <w:p w14:paraId="7EE80F54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A10752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Об особенностях регулирования земельных отношений на территории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в условиях принятия антикризисных мер, направленных на поддержку малого и среднего предпринимательства</w:t>
      </w:r>
    </w:p>
    <w:p w14:paraId="67A2ADBA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5" w:anchor="7DI0K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частью 1 статьи 8 Федерального закона от 14 марта 2022 года № 58-ФЗ «О внесении изменений в отдельные законодательные акты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», </w:t>
      </w:r>
      <w:hyperlink r:id="rId6" w:anchor="64S0IJ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постановлением Правительства Российской Федерации от 9 апреля 2022 года № 629 «Об особенностях регулирования земельных отношений в Российской Федерации в 2022 году» </w:t>
        </w:r>
      </w:hyperlink>
      <w:r>
        <w:rPr>
          <w:rFonts w:ascii="Verdana" w:hAnsi="Verdana"/>
          <w:color w:val="292D24"/>
          <w:sz w:val="20"/>
          <w:szCs w:val="20"/>
        </w:rPr>
        <w:t>(с изменениями, внесенными </w:t>
      </w:r>
      <w:hyperlink r:id="rId7" w:anchor="6580IP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постановлением Правительства Российской Федерации от 30 декабря    2022 года № 2536</w:t>
        </w:r>
      </w:hyperlink>
      <w:r>
        <w:rPr>
          <w:rFonts w:ascii="Verdana" w:hAnsi="Verdana"/>
          <w:color w:val="292D24"/>
          <w:sz w:val="20"/>
          <w:szCs w:val="20"/>
        </w:rPr>
        <w:t xml:space="preserve">) 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 Беловского района Курской области</w:t>
      </w:r>
    </w:p>
    <w:p w14:paraId="66EFA9B6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ПОСТАНОВЛЯЕТ:</w:t>
      </w:r>
    </w:p>
    <w:p w14:paraId="134E8F99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1. Установить, что в 2023 году наряду со случаями, предусмотренными </w:t>
      </w:r>
      <w:hyperlink r:id="rId8" w:anchor="64U0IK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Земельным кодексом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и при условии соблюдения требований, предусмотренных </w:t>
      </w:r>
      <w:hyperlink r:id="rId9" w:anchor="BPU0OV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пунктами 1</w:t>
        </w:r>
      </w:hyperlink>
      <w:r>
        <w:rPr>
          <w:rFonts w:ascii="Verdana" w:hAnsi="Verdana"/>
          <w:color w:val="292D24"/>
          <w:sz w:val="20"/>
          <w:szCs w:val="20"/>
        </w:rPr>
        <w:t>-</w:t>
      </w:r>
      <w:hyperlink r:id="rId10" w:anchor="BQE0P3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5 статьи 39.22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 xml:space="preserve">, допускается заключение договора мены земельного участка, находящегося в муниципальной собственности, на земельный участок, находящийся в частной собственности, в случае, если такой земельный участок, находящийся в частной собственности, необходим для размещения объектов реализации масштабных </w:t>
      </w:r>
      <w:r>
        <w:rPr>
          <w:rFonts w:ascii="Verdana" w:hAnsi="Verdana"/>
          <w:color w:val="292D24"/>
          <w:sz w:val="20"/>
          <w:szCs w:val="20"/>
        </w:rPr>
        <w:lastRenderedPageBreak/>
        <w:t>инвестиционных проектов, указанных в </w:t>
      </w:r>
      <w:hyperlink r:id="rId11" w:anchor="ABG0O1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подпунктах 2</w:t>
        </w:r>
      </w:hyperlink>
      <w:r>
        <w:rPr>
          <w:rFonts w:ascii="Verdana" w:hAnsi="Verdana"/>
          <w:color w:val="292D24"/>
          <w:sz w:val="20"/>
          <w:szCs w:val="20"/>
        </w:rPr>
        <w:t> и </w:t>
      </w:r>
      <w:hyperlink r:id="rId12" w:anchor="ABI0O2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3 пункта 2 статьи 39.6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а также для размещения объектов социальной инфраструктуры,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территории. При этом с соблюдением требований, предусмотренных </w:t>
      </w:r>
      <w:hyperlink r:id="rId13" w:anchor="BQE0P3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пунктом 5 статьи 39.22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может осуществляться обмен одного   нескольких земельных участков, находящихся в муниципальной собственности, на один несколько земельных участков, находящихся в частной собственности.</w:t>
      </w:r>
    </w:p>
    <w:p w14:paraId="47E7AA50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земельных участков, находящихся в муниципальной собственности, осуществляется с учетом следующих особенностей:</w:t>
      </w:r>
    </w:p>
    <w:p w14:paraId="1D7D8EB7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допускается наряду со случаями, предусмотренными </w:t>
      </w:r>
      <w:hyperlink r:id="rId14" w:anchor="64U0IK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Земельным кодексом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продажа без проведения торгов земельного участка, находящегося в муниципальной собственности,  предназначенных для ведения личного подсобного хозяйства, ведения гражданами садоводства   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предусмотренного </w:t>
      </w:r>
      <w:hyperlink r:id="rId15" w:anchor="AAI0NO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статьей 39.2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участка;</w:t>
      </w:r>
    </w:p>
    <w:p w14:paraId="74D8B92D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наряду со случаями, предусмотренными </w:t>
      </w:r>
      <w:hyperlink r:id="rId16" w:anchor="64U0IK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Земельным кодексом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земельные участки, находящиеся в  муниципальной собственности, предоставляются гражданам Российской Федерации,  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власти субъекта Российской Федерации;</w:t>
      </w:r>
    </w:p>
    <w:p w14:paraId="3944E41E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процедуры, предусмотренные </w:t>
      </w:r>
      <w:hyperlink r:id="rId17" w:anchor="AAS0NS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пунктом 7 статьи 11.4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8" w:anchor="BP60P1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подпунктом 3 пункта 4 статьи 39.11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19" w:anchor="BQA0P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пунктом 7 статьи 39.15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20" w:anchor="BQS0PB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пунктом 5 статьи 39.17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21" w:anchor="BQQ0P9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пунктом 1 статьи 39.18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осуществляются в срок не более 14 календарных дней;</w:t>
      </w:r>
    </w:p>
    <w:p w14:paraId="22F0149D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г) процедуры, предусмотренные </w:t>
      </w:r>
      <w:hyperlink r:id="rId22" w:anchor="BTC0PN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пунктом 7.1 статьи 39.15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23" w:anchor="BQQ0P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подпунктом 2 пункта 5 статьи 39.18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, осуществляются в срок не более 20 календарных дней.</w:t>
      </w:r>
    </w:p>
    <w:p w14:paraId="6F5389F9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2. В отношении земельных участков, находящихся в муниципальной собственности, определить случаи установления в 2023 году льготной арендной платы по договорам аренды указанных земельных участков и размер такой платы. (Размер </w:t>
      </w:r>
      <w:r>
        <w:rPr>
          <w:rFonts w:ascii="Verdana" w:hAnsi="Verdana"/>
          <w:color w:val="292D24"/>
          <w:sz w:val="20"/>
          <w:szCs w:val="20"/>
        </w:rPr>
        <w:lastRenderedPageBreak/>
        <w:t>арендной платы не может быть менее одного рубля и устанавливаться на срок более 1 года):</w:t>
      </w:r>
    </w:p>
    <w:p w14:paraId="72E10579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1) в случае, если земельный участок, находящийся в муниципальной собственности, используется для производства сельскохозяйственной продукции, необходимой для импортозамещения, установить размер аренды 180 руб. за 1 000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>. сроком на два года.</w:t>
      </w:r>
    </w:p>
    <w:p w14:paraId="3D9BE213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3. До 1 марта 2023 года арендатор земельного участка, находящегося в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14:paraId="203CDB21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14:paraId="59AF4DDD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участка.</w:t>
      </w:r>
    </w:p>
    <w:p w14:paraId="354AFF10" w14:textId="77777777" w:rsidR="0025319F" w:rsidRDefault="0025319F" w:rsidP="002531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Срок, на который увеличивается срок действия договора аренды земельного участка в соответствии с дополнительным соглашением, указанным в </w:t>
      </w:r>
      <w:hyperlink r:id="rId24" w:anchor="7DQ0KC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части 3 настоящего</w:t>
        </w:r>
      </w:hyperlink>
      <w:r>
        <w:rPr>
          <w:rFonts w:ascii="Verdana" w:hAnsi="Verdana"/>
          <w:color w:val="292D24"/>
          <w:sz w:val="20"/>
          <w:szCs w:val="20"/>
        </w:rPr>
        <w:t> постановления, не может превышать три года. При этом положения </w:t>
      </w:r>
      <w:hyperlink r:id="rId25" w:anchor="BO40ON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пункта 8 статьи 39.8 Земельного кодекса Российской Федерации</w:t>
        </w:r>
      </w:hyperlink>
      <w:r>
        <w:rPr>
          <w:rFonts w:ascii="Verdana" w:hAnsi="Verdana"/>
          <w:color w:val="292D24"/>
          <w:sz w:val="20"/>
          <w:szCs w:val="20"/>
        </w:rPr>
        <w:t> не применяются.</w:t>
      </w:r>
    </w:p>
    <w:p w14:paraId="1927D23F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Контроль за исполнением настоящего постановления оставляю за собой.</w:t>
      </w:r>
    </w:p>
    <w:p w14:paraId="27B96EAA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6. Разместить настоящее постановление на официальном </w:t>
      </w:r>
      <w:proofErr w:type="gramStart"/>
      <w:r>
        <w:rPr>
          <w:rFonts w:ascii="Verdana" w:hAnsi="Verdana"/>
          <w:color w:val="292D24"/>
          <w:sz w:val="20"/>
          <w:szCs w:val="20"/>
        </w:rPr>
        <w:t>сайте 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14:paraId="0FD736F1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Настоящее постановление вступает в силу со дня его подписания, распространяется на правоотношения, возникшие с 01 января 2023 года.</w:t>
      </w:r>
    </w:p>
    <w:p w14:paraId="4E638475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DD4C3A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</w:t>
      </w:r>
    </w:p>
    <w:p w14:paraId="76C23119" w14:textId="77777777" w:rsidR="0025319F" w:rsidRDefault="0025319F" w:rsidP="002531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                                      А.И. Тищенко</w:t>
      </w:r>
    </w:p>
    <w:p w14:paraId="1F1722A6" w14:textId="3AF41C30" w:rsidR="00B33C0D" w:rsidRPr="0025319F" w:rsidRDefault="0025319F" w:rsidP="0025319F">
      <w:bookmarkStart w:id="0" w:name="_GoBack"/>
      <w:bookmarkEnd w:id="0"/>
    </w:p>
    <w:sectPr w:rsidR="00B33C0D" w:rsidRPr="0025319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01078"/>
    <w:multiLevelType w:val="multilevel"/>
    <w:tmpl w:val="FE4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11380"/>
    <w:multiLevelType w:val="multilevel"/>
    <w:tmpl w:val="A88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E6EAD"/>
    <w:multiLevelType w:val="multilevel"/>
    <w:tmpl w:val="481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B2F73"/>
    <w:multiLevelType w:val="multilevel"/>
    <w:tmpl w:val="34E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92F6B"/>
    <w:multiLevelType w:val="multilevel"/>
    <w:tmpl w:val="9E0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705153"/>
    <w:multiLevelType w:val="multilevel"/>
    <w:tmpl w:val="583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A706EB"/>
    <w:multiLevelType w:val="multilevel"/>
    <w:tmpl w:val="48D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0688A"/>
    <w:multiLevelType w:val="multilevel"/>
    <w:tmpl w:val="649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F26A9"/>
    <w:multiLevelType w:val="multilevel"/>
    <w:tmpl w:val="B91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4"/>
  </w:num>
  <w:num w:numId="3">
    <w:abstractNumId w:val="40"/>
  </w:num>
  <w:num w:numId="4">
    <w:abstractNumId w:val="31"/>
  </w:num>
  <w:num w:numId="5">
    <w:abstractNumId w:val="49"/>
  </w:num>
  <w:num w:numId="6">
    <w:abstractNumId w:val="37"/>
  </w:num>
  <w:num w:numId="7">
    <w:abstractNumId w:val="0"/>
  </w:num>
  <w:num w:numId="8">
    <w:abstractNumId w:val="25"/>
  </w:num>
  <w:num w:numId="9">
    <w:abstractNumId w:val="41"/>
  </w:num>
  <w:num w:numId="10">
    <w:abstractNumId w:val="7"/>
  </w:num>
  <w:num w:numId="11">
    <w:abstractNumId w:val="12"/>
  </w:num>
  <w:num w:numId="12">
    <w:abstractNumId w:val="8"/>
  </w:num>
  <w:num w:numId="13">
    <w:abstractNumId w:val="32"/>
  </w:num>
  <w:num w:numId="14">
    <w:abstractNumId w:val="13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4"/>
  </w:num>
  <w:num w:numId="20">
    <w:abstractNumId w:val="33"/>
  </w:num>
  <w:num w:numId="21">
    <w:abstractNumId w:val="20"/>
  </w:num>
  <w:num w:numId="22">
    <w:abstractNumId w:val="4"/>
  </w:num>
  <w:num w:numId="23">
    <w:abstractNumId w:val="22"/>
  </w:num>
  <w:num w:numId="24">
    <w:abstractNumId w:val="35"/>
  </w:num>
  <w:num w:numId="25">
    <w:abstractNumId w:val="38"/>
  </w:num>
  <w:num w:numId="26">
    <w:abstractNumId w:val="42"/>
    <w:lvlOverride w:ilvl="0">
      <w:lvl w:ilvl="0">
        <w:numFmt w:val="upperRoman"/>
        <w:lvlText w:val="%1."/>
        <w:lvlJc w:val="right"/>
      </w:lvl>
    </w:lvlOverride>
  </w:num>
  <w:num w:numId="27">
    <w:abstractNumId w:val="6"/>
  </w:num>
  <w:num w:numId="28">
    <w:abstractNumId w:val="47"/>
  </w:num>
  <w:num w:numId="29">
    <w:abstractNumId w:val="29"/>
  </w:num>
  <w:num w:numId="30">
    <w:abstractNumId w:val="21"/>
  </w:num>
  <w:num w:numId="31">
    <w:abstractNumId w:val="26"/>
  </w:num>
  <w:num w:numId="32">
    <w:abstractNumId w:val="1"/>
  </w:num>
  <w:num w:numId="33">
    <w:abstractNumId w:val="28"/>
  </w:num>
  <w:num w:numId="34">
    <w:abstractNumId w:val="9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10"/>
  </w:num>
  <w:num w:numId="42">
    <w:abstractNumId w:val="46"/>
    <w:lvlOverride w:ilvl="0">
      <w:lvl w:ilvl="0">
        <w:numFmt w:val="upperRoman"/>
        <w:lvlText w:val="%1."/>
        <w:lvlJc w:val="right"/>
      </w:lvl>
    </w:lvlOverride>
  </w:num>
  <w:num w:numId="43">
    <w:abstractNumId w:val="24"/>
    <w:lvlOverride w:ilvl="0">
      <w:lvl w:ilvl="0">
        <w:numFmt w:val="upperRoman"/>
        <w:lvlText w:val="%1."/>
        <w:lvlJc w:val="right"/>
      </w:lvl>
    </w:lvlOverride>
  </w:num>
  <w:num w:numId="44">
    <w:abstractNumId w:val="39"/>
    <w:lvlOverride w:ilvl="0">
      <w:lvl w:ilvl="0">
        <w:numFmt w:val="upperRoman"/>
        <w:lvlText w:val="%1."/>
        <w:lvlJc w:val="right"/>
      </w:lvl>
    </w:lvlOverride>
  </w:num>
  <w:num w:numId="45">
    <w:abstractNumId w:val="48"/>
    <w:lvlOverride w:ilvl="0">
      <w:lvl w:ilvl="0">
        <w:numFmt w:val="upperRoman"/>
        <w:lvlText w:val="%1."/>
        <w:lvlJc w:val="right"/>
      </w:lvl>
    </w:lvlOverride>
  </w:num>
  <w:num w:numId="46">
    <w:abstractNumId w:val="43"/>
    <w:lvlOverride w:ilvl="0">
      <w:lvl w:ilvl="0">
        <w:numFmt w:val="upperRoman"/>
        <w:lvlText w:val="%1."/>
        <w:lvlJc w:val="right"/>
      </w:lvl>
    </w:lvlOverride>
  </w:num>
  <w:num w:numId="47">
    <w:abstractNumId w:val="3"/>
  </w:num>
  <w:num w:numId="48">
    <w:abstractNumId w:val="2"/>
  </w:num>
  <w:num w:numId="49">
    <w:abstractNumId w:val="1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7441000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744100004" TargetMode="External"/><Relationship Id="rId7" Type="http://schemas.openxmlformats.org/officeDocument/2006/relationships/hyperlink" Target="https://docs.cntd.ru/document/1300462713" TargetMode="Externa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744100004" TargetMode="External"/><Relationship Id="rId25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0207431" TargetMode="External"/><Relationship Id="rId11" Type="http://schemas.openxmlformats.org/officeDocument/2006/relationships/hyperlink" Target="https://docs.cntd.ru/document/744100004" TargetMode="External"/><Relationship Id="rId24" Type="http://schemas.openxmlformats.org/officeDocument/2006/relationships/hyperlink" Target="https://docs.cntd.ru/document/728460336" TargetMode="External"/><Relationship Id="rId5" Type="http://schemas.openxmlformats.org/officeDocument/2006/relationships/hyperlink" Target="https://docs.cntd.ru/document/728460336" TargetMode="External"/><Relationship Id="rId15" Type="http://schemas.openxmlformats.org/officeDocument/2006/relationships/hyperlink" Target="https://docs.cntd.ru/document/744100004" TargetMode="External"/><Relationship Id="rId23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74410000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167</cp:revision>
  <dcterms:created xsi:type="dcterms:W3CDTF">2022-12-15T15:00:00Z</dcterms:created>
  <dcterms:modified xsi:type="dcterms:W3CDTF">2025-02-08T19:04:00Z</dcterms:modified>
</cp:coreProperties>
</file>